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jc w:val="center"/>
        <w:spacing w:after="160" w:line="259" w:lineRule="auto"/>
        <w:rPr>
          <w:rFonts w:ascii="Times New Roman" w:eastAsia="Times New Roman" w:hAnsi="Times New Roman" w:hint="default"/>
          <w:b/>
          <w:bCs/>
          <w:sz w:val="30"/>
          <w:szCs w:val="30"/>
          <w:rtl w:val="off"/>
        </w:rPr>
      </w:pPr>
      <w:r>
        <w:rPr>
          <w:sz w:val="28"/>
          <w:szCs w:val="28"/>
        </w:rPr>
        <w:t xml:space="preserve"> </w:t>
      </w:r>
      <w:r>
        <w:rPr>
          <w:sz w:val="28"/>
          <w:szCs w:val="28"/>
        </w:rPr>
        <w:br/>
      </w:r>
      <w:r>
        <w:rPr>
          <w:rFonts w:ascii="Times New Roman" w:eastAsia="Times New Roman" w:hAnsi="Times New Roman" w:hint="default"/>
          <w:b/>
          <w:bCs/>
          <w:sz w:val="30"/>
          <w:szCs w:val="30"/>
          <w:rtl w:val="off"/>
        </w:rPr>
        <w:t>ЧЕЛЯБИНСКАЯ ОБЛАСТЬ</w:t>
      </w:r>
    </w:p>
    <w:p>
      <w:pPr>
        <w:jc w:val="center"/>
        <w:spacing w:after="160" w:line="259" w:lineRule="auto"/>
        <w:rPr>
          <w:rFonts w:ascii="Times New Roman" w:eastAsia="Times New Roman" w:hAnsi="Times New Roman" w:hint="default"/>
          <w:b/>
          <w:bCs/>
          <w:sz w:val="30"/>
          <w:szCs w:val="30"/>
          <w:rtl w:val="off"/>
        </w:rPr>
      </w:pPr>
      <w:r>
        <w:rPr>
          <w:rFonts w:ascii="Times New Roman" w:eastAsia="Times New Roman" w:hAnsi="Times New Roman" w:hint="default"/>
          <w:b/>
          <w:bCs/>
          <w:sz w:val="30"/>
          <w:szCs w:val="30"/>
          <w:rtl w:val="off"/>
        </w:rPr>
        <w:t>АРГАЯШСКИЙ МУНИЦИПАЛЬНЫЙ РАЙОН</w:t>
      </w:r>
    </w:p>
    <w:p>
      <w:pPr>
        <w:jc w:val="center"/>
        <w:spacing w:after="160" w:line="259" w:lineRule="auto"/>
        <w:rPr>
          <w:rFonts w:ascii="Times New Roman" w:eastAsia="Times New Roman" w:hAnsi="Times New Roman"/>
          <w:b/>
          <w:bCs/>
          <w:sz w:val="30"/>
          <w:szCs w:val="30"/>
          <w:rtl w:val="off"/>
        </w:rPr>
      </w:pPr>
      <w:r>
        <w:rPr>
          <w:rFonts w:ascii="Times New Roman" w:eastAsia="Times New Roman" w:hAnsi="Times New Roman" w:hint="default"/>
          <w:b/>
          <w:bCs/>
          <w:sz w:val="30"/>
          <w:szCs w:val="30"/>
          <w:rtl w:val="off"/>
        </w:rPr>
        <w:t>АДМИНИСТРАЦИЯ КУЛУЕВСКОГО СЕЛЬСКОГО ПОСЕЛЕНИЯ</w:t>
      </w:r>
    </w:p>
    <w:p>
      <w:pPr>
        <w:jc w:val="center"/>
        <w:spacing w:after="160" w:line="259" w:lineRule="auto"/>
        <w:rPr>
          <w:rFonts w:ascii="Times New Roman" w:eastAsia="Times New Roman" w:hAnsi="Times New Roman" w:hint="default"/>
          <w:rtl w:val="off"/>
        </w:rPr>
      </w:pPr>
      <w:r>
        <w:rPr>
          <w:rFonts w:ascii="Times New Roman" w:eastAsia="Times New Roman" w:hAnsi="Times New Roman" w:hint="default"/>
          <w:rtl w:val="off"/>
        </w:rPr>
        <w:t>456894, Челябинская область, Аргаяшский район, с. Кулуево, ул. Чапаева, 19</w:t>
      </w:r>
    </w:p>
    <w:p>
      <w:pPr>
        <w:pStyle w:val="a5"/>
        <w:jc w:val="center"/>
        <w:rPr/>
      </w:pPr>
      <w:r>
        <w:rPr>
          <w:rFonts w:ascii="Times New Roman" w:eastAsia="Times New Roman" w:hAnsi="Times New Roman" w:hint="default"/>
        </w:rPr>
        <w:t>ИНН 7426001366, КПП 74</w:t>
      </w:r>
      <w:r>
        <w:rPr>
          <w:rFonts w:ascii="Times New Roman" w:eastAsia="Times New Roman" w:hAnsi="Times New Roman" w:hint="default"/>
          <w:rtl w:val="off"/>
        </w:rPr>
        <w:t>60</w:t>
      </w:r>
      <w:r>
        <w:rPr>
          <w:rFonts w:ascii="Times New Roman" w:eastAsia="Times New Roman" w:hAnsi="Times New Roman" w:hint="default"/>
        </w:rPr>
        <w:t>01001, тел. 83513195280</w:t>
      </w:r>
    </w:p>
    <w:p>
      <w:pPr>
        <w:pStyle w:val="a5"/>
        <w:rPr>
          <w:rFonts w:ascii="Times New Roman" w:eastAsia="Times New Roman" w:hAnsi="Times New Roman"/>
          <w:b/>
          <w:bCs/>
          <w:sz w:val="28"/>
          <w:szCs w:val="28"/>
          <w:highlight w:val="black"/>
          <w:shd w:val="clear" w:color="auto" w:fill="000000" w:themeFill="dk1"/>
          <w:rtl w:val="off"/>
        </w:rPr>
      </w:pPr>
      <w:r>
        <w:rPr>
          <w:rFonts w:ascii="Times New Roman" w:eastAsia="Times New Roman" w:hAnsi="Times New Roman" w:hint="default"/>
          <w:b/>
          <w:bCs/>
          <w:highlight w:val="black"/>
          <w:shd w:val="clear" w:color="auto" w:fill="000000" w:themeFill="dk1"/>
        </w:rPr>
        <mc:AlternateContent>
          <mc:Choice Requires="wps">
            <w:drawing>
              <wp:anchor distT="0" distB="0" distL="114300" distR="114300" behindDoc="0" locked="0" layoutInCell="1" simplePos="0" relativeHeight="251660288" allowOverlap="1" hidden="0">
                <wp:simplePos x="0" y="0"/>
                <wp:positionH relativeFrom="column">
                  <wp:posOffset>-21590</wp:posOffset>
                </wp:positionH>
                <wp:positionV relativeFrom="paragraph">
                  <wp:posOffset>54988</wp:posOffset>
                </wp:positionV>
                <wp:extent cx="6391275" cy="9525"/>
                <wp:effectExtent l="6350" t="6350" r="6350" b="6350"/>
                <wp:wrapNone/>
                <wp:docPr id="1025" name="shape1025" hidden="0"/>
                <wp:cNvGraphicFramePr/>
                <a:graphic xmlns:a="http://schemas.openxmlformats.org/drawingml/2006/main">
                  <a:graphicData uri="http://schemas.microsoft.com/office/word/2010/wordprocessingShape">
                    <wps:wsp>
                      <wps:cNvSpPr>
                        <a:spLocks noRot="1"/>
                      </wps:cNvSpPr>
                      <wps:spPr>
                        <a:xfrm flipV="1">
                          <a:off x="0" y="0"/>
                          <a:ext cx="6391275" cy="9525"/>
                        </a:xfrm>
                        <a:prstGeom prst="line">
                          <a:avLst/>
                        </a:prstGeom>
                        <a:solidFill>
                          <a:schemeClr val="dk1"/>
                        </a:solidFill>
                        <a:ln w="12700">
                          <a:solidFill>
                            <a:prstClr val="black">
                              <a:shade val="95000"/>
                              <a:satMod val="104999"/>
                              <a:alpha val="100000"/>
                            </a:prstClr>
                          </a:solidFill>
                          <a:miter lim="524288"/>
                        </a:ln>
                      </wps:spPr>
                      <wps:style>
                        <a:lnRef idx="1">
                          <a:schemeClr val="accent1">
                            <a:shade val="95000"/>
                            <a:satMod val="104999"/>
                          </a:schemeClr>
                        </a:lnRef>
                        <a:fillRef idx="0">
                          <a:prstClr val="black"/>
                        </a:fillRef>
                        <a:effectRef idx="0">
                          <a:schemeClr val="accent1"/>
                        </a:effectRef>
                        <a:fontRef idx="minor"/>
                      </wps:style>
                      <wps:bodyPr rot="0" vert="horz" wrap="square" lIns="91440" tIns="45720" rIns="91440" bIns="45720" anchor="ctr">
                        <a:noAutofit/>
                      </wps:bodyPr>
                    </wps:wsp>
                  </a:graphicData>
                </a:graphic>
              </wp:anchor>
            </w:drawing>
          </mc:Choice>
          <mc:Fallback>
            <w:pict>
              <v:line id="line 2" style="position:absolute;margin-left:-1,7pt;margin-top:4,32976pt;width:503,25pt;height:0,75pt;mso-wrap-style:infront;mso-position-horizontal-relative:column;mso-position-vertical-relative:line;v-text-anchor:middle;flip:y;z-index:251660288" o:allowincell="t" filled="t" fillcolor="#0" stroked="t" strokecolor="#0" strokeweight="1pt">
                <v:stroke/>
              </v:line>
            </w:pict>
          </mc:Fallback>
        </mc:AlternateContent>
      </w:r>
    </w:p>
    <w:p>
      <w:pPr>
        <w:pStyle w:val="a5"/>
        <w:rPr>
          <w:rFonts w:ascii="Times New Roman" w:eastAsia="Times New Roman" w:hAnsi="Times New Roman"/>
          <w:b/>
          <w:bCs/>
          <w:sz w:val="28"/>
          <w:szCs w:val="28"/>
          <w:highlight w:val="black"/>
          <w:shd w:val="clear" w:color="auto" w:fill="000000" w:themeFill="dk1"/>
          <w:rtl w:val="off"/>
        </w:rPr>
      </w:pPr>
    </w:p>
    <w:p>
      <w:pPr>
        <w:pStyle w:val="a5"/>
        <w:rPr>
          <w:rFonts w:ascii="Times New Roman" w:eastAsia="Times New Roman" w:hAnsi="Times New Roman"/>
          <w:b/>
          <w:bCs/>
          <w:sz w:val="28"/>
          <w:szCs w:val="28"/>
          <w:highlight w:val="black"/>
          <w:shd w:val="clear" w:color="auto" w:fill="000000" w:themeFill="dk1"/>
          <w:rtl w:val="off"/>
        </w:rPr>
      </w:pPr>
    </w:p>
    <w:p>
      <w:pPr>
        <w:pStyle w:val="a5"/>
        <w:jc w:val="center"/>
        <w:rPr>
          <w:rFonts w:ascii="Times New Roman" w:eastAsia="Times New Roman" w:hAnsi="Times New Roman"/>
          <w:b/>
          <w:bCs/>
          <w:sz w:val="28"/>
          <w:szCs w:val="28"/>
          <w:highlight w:val="none"/>
          <w:rtl w:val="off"/>
        </w:rPr>
      </w:pPr>
      <w:r>
        <w:rPr>
          <w:rFonts w:ascii="Times New Roman" w:eastAsia="Times New Roman" w:hAnsi="Times New Roman" w:hint="default"/>
          <w:b/>
          <w:bCs/>
          <w:sz w:val="28"/>
          <w:szCs w:val="28"/>
          <w:highlight w:val="none"/>
          <w:rtl w:val="off"/>
        </w:rPr>
        <w:t>ПОСТАНОВЛЕНИЕ</w:t>
      </w:r>
    </w:p>
    <w:p>
      <w:pPr>
        <w:pStyle w:val="a5"/>
        <w:jc w:val="center"/>
        <w:rPr>
          <w:rFonts w:ascii="Times New Roman" w:eastAsia="Times New Roman" w:hAnsi="Times New Roman"/>
          <w:b/>
          <w:bCs/>
          <w:sz w:val="28"/>
          <w:szCs w:val="28"/>
          <w:highlight w:val="none"/>
          <w:rtl w:val="off"/>
        </w:rPr>
      </w:pPr>
    </w:p>
    <w:p>
      <w:pPr>
        <w:pStyle w:val="a5"/>
        <w:jc w:val="center"/>
        <w:rPr>
          <w:rFonts w:ascii="Times New Roman" w:eastAsia="Times New Roman" w:hAnsi="Times New Roman"/>
          <w:b/>
          <w:bCs/>
          <w:sz w:val="28"/>
          <w:szCs w:val="28"/>
          <w:highlight w:val="none"/>
          <w:rtl w:val="off"/>
        </w:rPr>
      </w:pPr>
    </w:p>
    <w:p>
      <w:pPr>
        <w:pStyle w:val="a5"/>
        <w:jc w:val="both"/>
        <w:rPr>
          <w:rFonts w:ascii="Times New Roman" w:eastAsia="Times New Roman" w:hAnsi="Times New Roman"/>
          <w:b/>
          <w:bCs/>
          <w:sz w:val="28"/>
          <w:szCs w:val="28"/>
          <w:highlight w:val="none"/>
          <w:rtl w:val="off"/>
        </w:rPr>
      </w:pPr>
      <w:r>
        <w:rPr>
          <w:rFonts w:ascii="Times New Roman" w:eastAsia="Times New Roman" w:hAnsi="Times New Roman" w:hint="default"/>
          <w:b/>
          <w:bCs/>
          <w:sz w:val="28"/>
          <w:szCs w:val="28"/>
          <w:highlight w:val="none"/>
          <w:rtl w:val="off"/>
        </w:rPr>
        <w:t>23.07.2022г.</w:t>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ab/>
      </w:r>
      <w:r>
        <w:rPr>
          <w:rFonts w:ascii="Times New Roman" w:eastAsia="Times New Roman" w:hAnsi="Times New Roman"/>
          <w:b/>
          <w:bCs/>
          <w:sz w:val="28"/>
          <w:szCs w:val="28"/>
          <w:highlight w:val="none"/>
          <w:rtl w:val="off"/>
        </w:rPr>
        <w:t>№ 60а</w:t>
      </w:r>
    </w:p>
    <w:tbl>
      <w:tblPr>
        <w:tblStyle w:val="afffff1"/>
        <w:tblBorders>
          <w:top w:val="none"/>
          <w:left w:val="none"/>
          <w:bottom w:val="none"/>
          <w:right w:val="none"/>
          <w:insideH w:val="none"/>
          <w:insideV w:val="none"/>
        </w:tblBorders>
        <w:tblLook w:val="04A0" w:firstRow="1" w:lastRow="0" w:firstColumn="1" w:lastColumn="0" w:noHBand="0" w:noVBand="1"/>
        <w:tblLayout w:type="autofit"/>
      </w:tblPr>
      <w:tblGrid>
        <w:gridCol w:w="5024"/>
      </w:tblGrid>
      <w:tr>
        <w:tc>
          <w:tcPr>
            <w:tcW w:w="5024" w:type="dxa"/>
          </w:tcPr>
          <w:p>
            <w:pPr>
              <w:pStyle w:val="a5"/>
              <w:jc w:val="both"/>
              <w:rPr>
                <w:rFonts w:ascii="Times New Roman" w:eastAsia="Times New Roman" w:hAnsi="Times New Roman"/>
                <w:b w:val="0"/>
                <w:bCs w:val="0"/>
                <w:sz w:val="28"/>
                <w:szCs w:val="28"/>
                <w:highlight w:val="none"/>
                <w:rtl w:val="off"/>
              </w:rPr>
            </w:pPr>
          </w:p>
        </w:tc>
      </w:tr>
    </w:tbl>
    <w:p>
      <w:pPr>
        <w:pStyle w:val="ConsPlusTitle"/>
        <w:ind w:right="4534"/>
        <w:jc w:val="both"/>
        <w:rPr>
          <w:rFonts w:ascii="Times New Roman" w:hAnsi="Times New Roman" w:cs="Times New Roman"/>
          <w:b w:val="0"/>
          <w:bCs w:val="0"/>
        </w:rPr>
      </w:pPr>
      <w:r>
        <w:rPr>
          <w:rFonts w:ascii="Times New Roman" w:hAnsi="Times New Roman" w:cs="Times New Roman"/>
          <w:b w:val="0"/>
          <w:bCs w:val="0"/>
        </w:rPr>
        <w:t>Об утверждении Порядка принятия решения администрацией Кулуевского сельского поселения о возможности изменения существенных условий контракта, заключенного до 01.01.2023</w:t>
      </w:r>
    </w:p>
    <w:p>
      <w:pPr>
        <w:pStyle w:val="ConsPlusNormal"/>
        <w:jc w:val="both"/>
      </w:pPr>
    </w:p>
    <w:p>
      <w:pPr>
        <w:pStyle w:val="ConsPlusNormal"/>
        <w:ind w:firstLine="540"/>
        <w:jc w:val="both"/>
      </w:pPr>
      <w:r>
        <w:t xml:space="preserve">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Уставом Кулуевского сельского поселения, администрация Кулуевского сельского поселения </w:t>
      </w:r>
    </w:p>
    <w:p>
      <w:pPr>
        <w:rPr>
          <w:sz w:val="24"/>
          <w:szCs w:val="24"/>
        </w:rPr>
      </w:pPr>
    </w:p>
    <w:p>
      <w:pPr>
        <w:rPr>
          <w:sz w:val="24"/>
          <w:szCs w:val="24"/>
        </w:rPr>
      </w:pPr>
      <w:r>
        <w:rPr>
          <w:sz w:val="24"/>
          <w:szCs w:val="24"/>
        </w:rPr>
        <w:t>ПОСТАНОВЛЯЕТ:</w:t>
      </w:r>
    </w:p>
    <w:p>
      <w:pPr>
        <w:pStyle w:val="ConsPlusNormal"/>
        <w:jc w:val="both"/>
      </w:pPr>
    </w:p>
    <w:p>
      <w:pPr>
        <w:pStyle w:val="ConsPlusNormal"/>
        <w:jc w:val="both"/>
      </w:pPr>
      <w:r>
        <w:t>1. Установить, что изменение по соглашению сторон существенных условий контракта на закупку товаров, работ, услуг для нужд Администрации Кулуевского сельского поселения, заключенного до 01 января 2023 года, если при исполнении такого контракта возникли независящие от сторон контракта обстоятельства, влекущие невозможность его исполнения, осуществляется на основании правового акта Администрации Кулуевского сельского поселения.</w:t>
      </w:r>
    </w:p>
    <w:p>
      <w:pPr>
        <w:pStyle w:val="ConsPlusNormal"/>
        <w:jc w:val="both"/>
      </w:pPr>
      <w:r>
        <w:t>2. Утвердить Порядок принятия решения Администрацией Кулуевского сельского поселения о возможности изменения существенных условий контракта, заключенного до 1 января 2023 года.</w:t>
      </w:r>
    </w:p>
    <w:p>
      <w:pPr>
        <w:pStyle w:val="ConsPlusNormal"/>
        <w:jc w:val="both"/>
      </w:pPr>
      <w:r>
        <w:t>3. Разместить настоящее постановление на официальном сайте Администрации Кулуевского сельского поселения.</w:t>
      </w:r>
    </w:p>
    <w:p>
      <w:pPr>
        <w:pStyle w:val="ConsPlusNormal"/>
        <w:jc w:val="both"/>
      </w:pPr>
      <w:r>
        <w:t>4. Контроль за исполнением настоящего постановления оставляю за собой.</w:t>
      </w:r>
    </w:p>
    <w:p>
      <w:pPr>
        <w:pStyle w:val="ConsPlusNormal"/>
        <w:jc w:val="both"/>
      </w:pPr>
      <w:r>
        <w:t>5. Настоящее постановление вступает в силу после его официального опубликования и действует в отношении контрактов, заключенных до 01 января 2023 года.</w:t>
      </w:r>
    </w:p>
    <w:p>
      <w:pPr>
        <w:pStyle w:val="ConsPlusNormal"/>
        <w:ind w:firstLine="540"/>
        <w:jc w:val="both"/>
        <w:rPr>
          <w:rtl w:val="off"/>
        </w:rPr>
      </w:pPr>
    </w:p>
    <w:p>
      <w:pPr>
        <w:pStyle w:val="ConsPlusNormal"/>
        <w:ind w:firstLine="540"/>
        <w:jc w:val="both"/>
        <w:rPr>
          <w:rtl w:val="off"/>
        </w:rPr>
      </w:pPr>
    </w:p>
    <w:p>
      <w:pPr>
        <w:pStyle w:val="ConsPlusNormal"/>
        <w:ind w:firstLine="540"/>
        <w:jc w:val="both"/>
      </w:pPr>
    </w:p>
    <w:p>
      <w:pPr>
        <w:pStyle w:val="ConsPlusNormal"/>
        <w:jc w:val="both"/>
      </w:pPr>
    </w:p>
    <w:p>
      <w:pPr>
        <w:pStyle w:val="ConsPlusNormal"/>
        <w:jc w:val="center"/>
      </w:pPr>
      <w:r>
        <w:t>Глава</w:t>
      </w:r>
      <w:r>
        <w:rPr>
          <w:rtl w:val="off"/>
        </w:rPr>
        <w:tab/>
      </w:r>
      <w:r>
        <w:rPr>
          <w:rtl w:val="off"/>
        </w:rPr>
        <w:tab/>
      </w:r>
      <w:r>
        <w:rPr>
          <w:rtl w:val="off"/>
        </w:rPr>
        <w:tab/>
      </w:r>
      <w:r>
        <w:rPr>
          <w:rtl w:val="off"/>
        </w:rPr>
        <w:tab/>
      </w:r>
      <w:r>
        <w:rPr>
          <w:rtl w:val="off"/>
        </w:rPr>
        <w:tab/>
      </w:r>
      <w:r>
        <w:t>А.К. Альмухаметов</w:t>
      </w:r>
      <w:r>
        <w:tab/>
      </w:r>
    </w:p>
    <w:p>
      <w:pPr>
        <w:pStyle w:val="ConsPlusNormal"/>
        <w:sectPr>
          <w:pgSz w:w="11906" w:h="16838"/>
          <w:pgMar w:top="284" w:right="851" w:bottom="426" w:left="1418" w:header="709" w:footer="709" w:gutter="0"/>
          <w:cols w:space="708"/>
          <w:docGrid w:linePitch="360"/>
        </w:sectPr>
      </w:pPr>
    </w:p>
    <w:p>
      <w:pPr>
        <w:pStyle w:val="ConsPlusNormal"/>
        <w:ind w:right="-427" w:firstLine="4962"/>
        <w:jc w:val="center"/>
        <w:rPr>
          <w:caps/>
        </w:rPr>
      </w:pPr>
      <w:r>
        <w:rPr>
          <w:caps/>
        </w:rPr>
        <w:t>Приложение</w:t>
      </w:r>
    </w:p>
    <w:p>
      <w:pPr>
        <w:pStyle w:val="ConsPlusNormal"/>
        <w:ind w:right="-427" w:firstLine="4962"/>
        <w:jc w:val="center"/>
      </w:pPr>
      <w:r>
        <w:t>к постановлению Администрации</w:t>
      </w:r>
    </w:p>
    <w:p>
      <w:pPr>
        <w:pStyle w:val="ConsPlusNormal"/>
        <w:ind w:right="-427" w:firstLine="4962"/>
        <w:jc w:val="center"/>
      </w:pPr>
      <w:r>
        <w:t xml:space="preserve">Кулуевского сельского поселения </w:t>
      </w:r>
    </w:p>
    <w:p>
      <w:pPr>
        <w:pStyle w:val="ConsPlusNormal"/>
        <w:ind w:right="-427" w:firstLine="4962"/>
        <w:jc w:val="center"/>
      </w:pPr>
      <w:r>
        <w:rPr>
          <w:rtl w:val="off"/>
        </w:rPr>
        <w:t>о</w:t>
      </w:r>
      <w:r>
        <w:t>т</w:t>
      </w:r>
      <w:r>
        <w:rPr>
          <w:rtl w:val="off"/>
        </w:rPr>
        <w:t xml:space="preserve"> 23.07.</w:t>
      </w:r>
      <w:r>
        <w:t>2022г. №</w:t>
      </w:r>
      <w:r>
        <w:rPr>
          <w:rtl w:val="off"/>
        </w:rPr>
        <w:t>60а</w:t>
      </w:r>
    </w:p>
    <w:p>
      <w:pPr>
        <w:pStyle w:val="ConsPlusNormal"/>
        <w:jc w:val="both"/>
      </w:pPr>
    </w:p>
    <w:p>
      <w:pPr>
        <w:pStyle w:val="ConsPlusTitle"/>
        <w:jc w:val="center"/>
        <w:rPr>
          <w:rFonts w:ascii="Times New Roman" w:hAnsi="Times New Roman" w:cs="Times New Roman"/>
        </w:rPr>
      </w:pPr>
      <w:bookmarkStart w:id="1" w:name="Par38"/>
      <w:bookmarkEnd w:id="1"/>
    </w:p>
    <w:p>
      <w:pPr>
        <w:pStyle w:val="ConsPlusTitle"/>
        <w:jc w:val="center"/>
        <w:rPr>
          <w:rFonts w:ascii="Times New Roman" w:hAnsi="Times New Roman" w:cs="Times New Roman"/>
          <w:b w:val="0"/>
        </w:rPr>
      </w:pPr>
      <w:r>
        <w:rPr>
          <w:rFonts w:ascii="Times New Roman" w:hAnsi="Times New Roman" w:cs="Times New Roman"/>
          <w:b w:val="0"/>
        </w:rPr>
        <w:t>Порядок</w:t>
      </w:r>
    </w:p>
    <w:p>
      <w:pPr>
        <w:pStyle w:val="ConsPlusTitle"/>
        <w:jc w:val="center"/>
        <w:rPr>
          <w:rFonts w:ascii="Times New Roman" w:hAnsi="Times New Roman" w:cs="Times New Roman"/>
          <w:b w:val="0"/>
        </w:rPr>
      </w:pPr>
      <w:r>
        <w:rPr>
          <w:rFonts w:ascii="Times New Roman" w:hAnsi="Times New Roman" w:cs="Times New Roman"/>
          <w:b w:val="0"/>
        </w:rPr>
        <w:t>принятия решения Администрацией Кулуевского сельского поселения о возможности изменения существенных условий контракта, заключенного до 01 января 2023 года</w:t>
      </w:r>
    </w:p>
    <w:p>
      <w:pPr>
        <w:pStyle w:val="ConsPlusNormal"/>
        <w:jc w:val="both"/>
      </w:pPr>
    </w:p>
    <w:p>
      <w:pPr>
        <w:pStyle w:val="ConsPlusNormal"/>
        <w:ind w:firstLine="709"/>
        <w:jc w:val="both"/>
      </w:pPr>
      <w:r>
        <w:t>1. Настоящий Порядок принятия решения администрацией Кулуевского сельского поселения о возможности изменения существенных условий контракта, заключенного до 01 января 2023 года (далее - Порядок) разработан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в целях регулирования процедуры изменения существенных условий контрактов, заключенных в соответствии с Федеральным законом до 01 января 2023 года.</w:t>
      </w:r>
    </w:p>
    <w:p>
      <w:pPr>
        <w:pStyle w:val="ConsPlusNormal"/>
        <w:ind w:firstLine="709"/>
        <w:jc w:val="both"/>
      </w:pPr>
      <w:r>
        <w:t>2. По соглашению сторон допускается изменение следующих существенных условий контракта, заключенного до 01 января 2023 года Администрацией Кулуевского сельского поселения, если при исполнении такого контракта возникли независящие от сторон контракта обстоятельства, влекущие невозможность его исполнения:</w:t>
      </w:r>
    </w:p>
    <w:p>
      <w:pPr>
        <w:pStyle w:val="ConsPlusNormal"/>
        <w:ind w:firstLine="709"/>
        <w:jc w:val="both"/>
      </w:pPr>
      <w:r>
        <w:t>1) цены контракта и (или) цены единицы товара, работы, услуги;</w:t>
      </w:r>
    </w:p>
    <w:p>
      <w:pPr>
        <w:pStyle w:val="ConsPlusNormal"/>
        <w:ind w:firstLine="709"/>
        <w:jc w:val="both"/>
      </w:pPr>
      <w:r>
        <w:t>2) порядка и сроков оплаты товара, работы или услуги;</w:t>
      </w:r>
    </w:p>
    <w:p>
      <w:pPr>
        <w:pStyle w:val="ConsPlusNormal"/>
        <w:ind w:firstLine="709"/>
        <w:jc w:val="both"/>
      </w:pPr>
      <w:r>
        <w:t>3) сроков поставки товара, выполнения работ, оказания услуг;</w:t>
      </w:r>
    </w:p>
    <w:p>
      <w:pPr>
        <w:pStyle w:val="ConsPlusNormal"/>
        <w:ind w:firstLine="709"/>
        <w:jc w:val="both"/>
      </w:pPr>
      <w:r>
        <w:t>4) иных существенных условий контракта.</w:t>
      </w:r>
    </w:p>
    <w:p>
      <w:pPr>
        <w:pStyle w:val="ConsPlusNormal"/>
        <w:ind w:firstLine="709"/>
        <w:jc w:val="both"/>
      </w:pPr>
      <w:r>
        <w:t>3. Изменение существенных условий контракта по соглашению сторон при его исполнении допускается при совокупности следующих условий:</w:t>
      </w:r>
    </w:p>
    <w:p>
      <w:pPr>
        <w:pStyle w:val="ConsPlusNormal"/>
        <w:ind w:firstLine="709"/>
        <w:jc w:val="both"/>
      </w:pPr>
      <w:r>
        <w:t>1) изменение существенных условий контракта осуществляется с соблюдением положений частей 1.3 - 1.6 статьи 95 Федерального закона;</w:t>
      </w:r>
    </w:p>
    <w:p>
      <w:pPr>
        <w:pStyle w:val="ConsPlusNormal"/>
        <w:ind w:firstLine="709"/>
        <w:jc w:val="both"/>
      </w:pPr>
      <w:r>
        <w:t>2) изменение существенных условий контракта осуществляется путем заключения заказчиком и поставщиком (подрядчиком, исполнителем) дополнительного соглашения об изменении условий контракта;</w:t>
      </w:r>
    </w:p>
    <w:p>
      <w:pPr>
        <w:pStyle w:val="ConsPlusNormal"/>
        <w:ind w:firstLine="709"/>
        <w:jc w:val="both"/>
      </w:pPr>
      <w:r>
        <w:t>3) контракт заключен до 1 января 2023 года и при его исполнении возникли независящие от сторон контракта обстоятельства, влекущие невозможность его исполнения.</w:t>
      </w:r>
      <w:bookmarkStart w:id="2" w:name="Par54"/>
      <w:bookmarkEnd w:id="2"/>
    </w:p>
    <w:p>
      <w:pPr>
        <w:pStyle w:val="ConsPlusNormal"/>
        <w:ind w:firstLine="709"/>
        <w:jc w:val="both"/>
      </w:pPr>
      <w:r>
        <w:t>4. При возникновении независящих от сторон обстоятельств, влекущих невозможность исполнения контракта, поставщик (подрядчик, исполнитель) в письменной форме направляет заказчику предложение об изменении существенных условий контракта. Указанное предложение должно содержать:</w:t>
      </w:r>
    </w:p>
    <w:p>
      <w:pPr>
        <w:pStyle w:val="ConsPlusNormal"/>
        <w:ind w:firstLine="709"/>
        <w:jc w:val="both"/>
      </w:pPr>
      <w:r>
        <w:t>1) информацию о реквизитах контракта (дата заключения, номер контракта</w:t>
      </w:r>
      <w:r>
        <w:rPr>
          <w:rtl w:val="off"/>
        </w:rPr>
        <w:t>)</w:t>
      </w:r>
      <w:r>
        <w:t>;</w:t>
      </w:r>
    </w:p>
    <w:p>
      <w:pPr>
        <w:pStyle w:val="ConsPlusNormal"/>
        <w:ind w:firstLine="709"/>
        <w:jc w:val="both"/>
      </w:pPr>
      <w:r>
        <w:t>2) предложение об изменении существенных условий контракта с обоснов</w:t>
      </w:r>
      <w:r>
        <w:rPr>
          <w:rtl w:val="off"/>
        </w:rPr>
        <w:t>анием</w:t>
      </w:r>
      <w:r>
        <w:t xml:space="preserve"> тако</w:t>
      </w:r>
      <w:r>
        <w:rPr>
          <w:rtl w:val="off"/>
        </w:rPr>
        <w:t xml:space="preserve">го </w:t>
      </w:r>
      <w:r>
        <w:t>предложени</w:t>
      </w:r>
      <w:r>
        <w:rPr>
          <w:rtl w:val="off"/>
        </w:rPr>
        <w:t>я.</w:t>
      </w:r>
    </w:p>
    <w:p>
      <w:pPr>
        <w:pStyle w:val="ConsPlusNormal"/>
        <w:ind w:firstLine="709"/>
        <w:jc w:val="both"/>
      </w:pPr>
      <w:r>
        <w:t>Ответственность за достоверность и полноту предоставляемой информации несет поставщик (подрядчик, исполнитель).</w:t>
      </w:r>
    </w:p>
    <w:p>
      <w:pPr>
        <w:pStyle w:val="ConsPlusNormal"/>
        <w:ind w:firstLine="709"/>
        <w:jc w:val="both"/>
      </w:pPr>
      <w:r>
        <w:t>5. Специалист в сфере закупок в день поступления предложения об изменении существенных условий контракта от поставщика (подрядчика, исполнителя) осуществляет проверку документов и информации на соответствие фактическим обстоятельствам, которыми располагает заказчик.</w:t>
      </w:r>
    </w:p>
    <w:p>
      <w:pPr>
        <w:pStyle w:val="ConsPlusNormal"/>
        <w:ind w:firstLine="709"/>
        <w:jc w:val="both"/>
      </w:pPr>
      <w:r>
        <w:t>По итогам рассмотрения поступивших документов специалист в сфере закупок, в срок не более трех рабочих дней, готовит проект правового акта администрации Кулуевского сельского поселения в соответствии с настоящим Порядком,</w:t>
      </w:r>
    </w:p>
    <w:p>
      <w:pPr>
        <w:pStyle w:val="ConsPlusNormal"/>
        <w:ind w:firstLine="709"/>
        <w:jc w:val="both"/>
      </w:pPr>
      <w:r>
        <w:t>6. Основаниями для отказа в изменении существенных условий контракта является наличие одного или совокупности следующих обстоятельств:</w:t>
      </w:r>
    </w:p>
    <w:p>
      <w:pPr>
        <w:pStyle w:val="ConsPlusNormal"/>
        <w:ind w:firstLine="709"/>
        <w:jc w:val="both"/>
      </w:pPr>
      <w:r>
        <w:t>1) отсутствие информации и (или) документов, предусмотренных пунктом 5 настоящего Порядка, или их недостоверность;</w:t>
      </w:r>
    </w:p>
    <w:p>
      <w:pPr>
        <w:pStyle w:val="ConsPlusNormal"/>
        <w:ind w:firstLine="709"/>
        <w:jc w:val="both"/>
      </w:pPr>
      <w:r>
        <w:t xml:space="preserve">2) </w:t>
      </w:r>
      <w:r>
        <w:rPr>
          <w:rtl w:val="off"/>
        </w:rPr>
        <w:t>обоснование</w:t>
      </w:r>
      <w:r>
        <w:t xml:space="preserve"> обстоятельств, влекущих невозможность исполнения контракта в соответствии с действующими условиями, не подтверждает наличие таких обстоятельств;</w:t>
      </w:r>
    </w:p>
    <w:p>
      <w:pPr>
        <w:pStyle w:val="ConsPlusNormal"/>
        <w:ind w:firstLine="709"/>
        <w:jc w:val="both"/>
      </w:pPr>
      <w:r>
        <w:t>3) наличие обстоятельств, препятствующих исполнению контракта на новых условиях, указанных в предложении поставщика.</w:t>
      </w:r>
    </w:p>
    <w:p>
      <w:pPr>
        <w:pStyle w:val="ConsPlusNormal"/>
        <w:ind w:firstLine="709"/>
        <w:jc w:val="both"/>
      </w:pPr>
      <w:r>
        <w:t>7.  Подготовленный проект правового акта с документами, представленными поставщиком (подрядчиком, исполнителем) в соответствии с пунктом 5 Порядка, направляется главе Кулуевского сельского поселения на визирование.</w:t>
      </w:r>
    </w:p>
    <w:p>
      <w:pPr>
        <w:pStyle w:val="ConsPlusNormal"/>
        <w:ind w:firstLine="709"/>
        <w:jc w:val="both"/>
      </w:pPr>
      <w:r>
        <w:t>8. Подготовленный и направленный на согласование проект правового акта должен содержать:</w:t>
      </w:r>
    </w:p>
    <w:p>
      <w:pPr>
        <w:pStyle w:val="ConsPlusNormal"/>
        <w:ind w:firstLine="709"/>
        <w:jc w:val="both"/>
      </w:pPr>
      <w:r>
        <w:t>1) информацию о заказчике;</w:t>
      </w:r>
    </w:p>
    <w:p>
      <w:pPr>
        <w:pStyle w:val="ConsPlusNormal"/>
        <w:ind w:firstLine="709"/>
        <w:jc w:val="both"/>
      </w:pPr>
      <w:r>
        <w:rPr>
          <w:rtl w:val="off"/>
        </w:rPr>
        <w:t>2</w:t>
      </w:r>
      <w:r>
        <w:t>) реквизиты контракта, включая наименование, дату и номер контракта;</w:t>
      </w:r>
    </w:p>
    <w:p>
      <w:pPr>
        <w:pStyle w:val="ConsPlusNormal"/>
        <w:ind w:firstLine="709"/>
        <w:jc w:val="both"/>
      </w:pPr>
      <w:r>
        <w:rPr>
          <w:rtl w:val="off"/>
        </w:rPr>
        <w:t>3</w:t>
      </w:r>
      <w:r>
        <w:t>) сведения о предмете контракта</w:t>
      </w:r>
      <w:r>
        <w:rPr>
          <w:rtl w:val="off"/>
        </w:rPr>
        <w:t>.</w:t>
      </w:r>
    </w:p>
    <w:p>
      <w:pPr>
        <w:pStyle w:val="ConsPlusNormal"/>
        <w:ind w:firstLine="709"/>
        <w:jc w:val="both"/>
      </w:pPr>
      <w:r>
        <w:t>9. Вступивший в силу правовой акт Администрации Кулуевского сельского поселения является основанием для заключения дополнительного соглашения об изменении существенных условий контракта на условиях, указанных в этом акте.</w:t>
      </w:r>
    </w:p>
    <w:p>
      <w:pPr>
        <w:rPr>
          <w:sz w:val="24"/>
          <w:szCs w:val="24"/>
        </w:rPr>
      </w:pPr>
    </w:p>
    <w:p>
      <w:pPr>
        <w:rPr>
          <w:sz w:val="24"/>
          <w:szCs w:val="24"/>
        </w:rPr>
      </w:pPr>
    </w:p>
    <w:p>
      <w:pPr>
        <w:rPr>
          <w:sz w:val="24"/>
          <w:szCs w:val="24"/>
        </w:rPr>
      </w:pPr>
    </w:p>
    <w:p>
      <w:pPr>
        <w:rPr>
          <w:sz w:val="24"/>
          <w:szCs w:val="24"/>
        </w:rPr>
      </w:pPr>
    </w:p>
    <w:sectPr>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false"/>
    <w:sig w:usb0="E0002EFF" w:usb1="C000785B" w:usb2="00000009" w:usb3="00000001" w:csb0="400001FF" w:csb1="FFFF0000"/>
  </w:font>
  <w:font w:name="SimSun">
    <w:panose1 w:val="02010600030101010101"/>
    <w:family w:val="auto"/>
    <w:charset w:val="86"/>
    <w:notTrueType w:val="false"/>
    <w:sig w:usb0="00000003" w:usb1="288F0000" w:usb2="00000006" w:usb3="00000001" w:csb0="00040001" w:csb1="00000001"/>
  </w:font>
  <w:font w:name="Arial">
    <w:panose1 w:val="020B0604020202020204"/>
    <w:family w:val="swiss"/>
    <w:charset w:val="cc"/>
    <w:notTrueType w:val="false"/>
    <w:sig w:usb0="E0002EFF" w:usb1="C000785B" w:usb2="00000009" w:usb3="00000001"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16"/>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ru-RU" w:bidi="ar-SA"/>
        <w:rFonts w:ascii="Times New Roman" w:eastAsia="SimSun" w:hAnsi="Times New Roman" w:cs="Times New Roman"/>
      </w:rPr>
    </w:rPrDefault>
    <w:pPrDefault>
      <w:pPr/>
    </w:pPrDefault>
  </w:docDefaults>
  <w:style w:type="paragraph" w:default="1" w:styleId="a1">
    <w:name w:val="Normal"/>
    <w:qFormat/>
    <w:rPr>
      <w:rFonts w:eastAsia="Times New Roman"/>
    </w:r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styleId="a5">
    <w:name w:val="No Spacing"/>
    <w:qFormat/>
    <w:pPr>
      <w:spacing w:after="0" w:line="240" w:lineRule="auto"/>
    </w:pPr>
  </w:style>
  <w:style w:type="table" w:styleId="afffff1">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pPr>
      <w:adjustRightInd/>
      <w:autoSpaceDE w:val="off"/>
      <w:autoSpaceDN w:val="off"/>
      <w:widowControl w:val="off"/>
    </w:pPr>
    <w:rPr>
      <w:rFonts w:eastAsia="Times New Roman"/>
      <w:sz w:val="24"/>
      <w:szCs w:val="24"/>
    </w:rPr>
  </w:style>
  <w:style w:type="paragraph" w:customStyle="1" w:styleId="ConsPlusTitle">
    <w:name w:val="ConsPlusTitle"/>
    <w:pPr>
      <w:adjustRightInd/>
      <w:autoSpaceDE w:val="off"/>
      <w:autoSpaceDN w:val="off"/>
      <w:widowControl w:val="off"/>
    </w:pPr>
    <w:rPr>
      <w:rFonts w:ascii="Arial" w:eastAsia="Times New Roman" w:hAnsi="Arial" w:cs="Arial"/>
      <w:b/>
      <w:bC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fontTable" Target="fontTable.xml" /><Relationship Id="rId4" Type="http://schemas.openxmlformats.org/officeDocument/2006/relationships/webSettings" Target="webSettings.xml" /><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Company>SPecialiST RePack</Company>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ГОЧС</dc:creator>
  <cp:keywords/>
  <dc:description/>
  <cp:lastModifiedBy/>
  <cp:revision>1</cp:revision>
  <dcterms:created xsi:type="dcterms:W3CDTF">2022-09-05T05:24:00Z</dcterms:created>
  <dcterms:modified xsi:type="dcterms:W3CDTF">2022-09-20T18:26:01Z</dcterms:modified>
  <cp:lastPrinted>2022-08-02T11:26:00Z</cp:lastPrinted>
  <cp:version>0900.0100.01</cp:version>
</cp:coreProperties>
</file>