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  <w:u w:val="single"/>
        </w:rPr>
      </w:pPr>
      <w:r>
        <w:rPr>
          <w:rFonts w:ascii="Times New Roman" w:hAnsi="Times New Roman"/>
          <w:b w:val="1"/>
          <w:sz w:val="20"/>
        </w:rPr>
        <w:t xml:space="preserve">УПРАВЛЕНИЕ </w:t>
      </w:r>
      <w:r>
        <w:rPr>
          <w:rFonts w:ascii="Times New Roman" w:hAnsi="Times New Roman"/>
          <w:b w:val="1"/>
          <w:sz w:val="20"/>
        </w:rPr>
        <w:t>ФЕДЕРАЛЬНОЙ  СЛУЖБЫ</w:t>
      </w:r>
      <w:r>
        <w:rPr>
          <w:rFonts w:ascii="Times New Roman" w:hAnsi="Times New Roman"/>
          <w:b w:val="1"/>
          <w:sz w:val="20"/>
        </w:rPr>
        <w:t xml:space="preserve">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u w:val="single"/>
        </w:rPr>
        <w:t>КАДАСТРА И КАРТОГРАФИИ (</w:t>
      </w:r>
      <w:r>
        <w:rPr>
          <w:rFonts w:ascii="Times New Roman" w:hAnsi="Times New Roman"/>
          <w:b w:val="1"/>
          <w:sz w:val="20"/>
          <w:u w:val="single"/>
        </w:rPr>
        <w:t>РОСРЕЕСТР)  ПО</w:t>
      </w:r>
      <w:r>
        <w:rPr>
          <w:rFonts w:ascii="Times New Roman" w:hAnsi="Times New Roman"/>
          <w:b w:val="1"/>
          <w:sz w:val="20"/>
          <w:u w:val="single"/>
        </w:rPr>
        <w:t xml:space="preserve"> ЧЕЛЯБИНСКОЙ ОБЛАСТИ </w:t>
      </w: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0"/>
        </w:rPr>
        <w:tab/>
      </w:r>
      <w:r>
        <w:rPr>
          <w:rFonts w:ascii="Times New Roman" w:hAnsi="Times New Roman"/>
          <w:b w:val="1"/>
          <w:sz w:val="20"/>
        </w:rPr>
        <w:tab/>
      </w:r>
      <w:r>
        <w:rPr>
          <w:rFonts w:ascii="Times New Roman" w:hAnsi="Times New Roman"/>
          <w:b w:val="1"/>
          <w:sz w:val="20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>454048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0"/>
        </w:rPr>
        <w:t>г. Челябинск, ул. Елькина, 85</w:t>
      </w:r>
    </w:p>
    <w:p w14:paraId="04000000">
      <w:pPr>
        <w:ind/>
        <w:jc w:val="center"/>
        <w:rPr>
          <w:b w:val="1"/>
          <w:color w:themeColor="accent1" w:val="000000"/>
          <w:sz w:val="30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095732" cy="783771"/>
            <wp:wrapSquare distB="0" distL="114300" distR="114300" distT="0" wrapText="bothSides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732" cy="78377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ind/>
        <w:jc w:val="center"/>
        <w:rPr>
          <w:b w:val="1"/>
          <w:color w:themeColor="accent1" w:val="000000"/>
          <w:sz w:val="30"/>
        </w:rPr>
      </w:pPr>
      <w:r>
        <w:rPr>
          <w:rFonts w:ascii="Times New Roman" w:hAnsi="Times New Roman"/>
          <w:sz w:val="28"/>
        </w:rPr>
        <w:br/>
      </w:r>
    </w:p>
    <w:p w14:paraId="06000000">
      <w:pPr>
        <w:spacing w:after="0" w:line="240" w:lineRule="auto"/>
        <w:ind/>
        <w:jc w:val="center"/>
        <w:rPr>
          <w:b w:val="1"/>
          <w:color w:themeColor="accent1" w:val="000000"/>
          <w:sz w:val="30"/>
        </w:rPr>
      </w:pPr>
      <w:r>
        <w:rPr>
          <w:b w:val="1"/>
          <w:color w:themeColor="accent1" w:val="000000"/>
          <w:sz w:val="30"/>
        </w:rPr>
        <w:t xml:space="preserve">Что можно построить на земле, предназначенной для </w:t>
      </w:r>
    </w:p>
    <w:p w14:paraId="07000000">
      <w:pPr>
        <w:spacing w:after="0" w:line="240" w:lineRule="auto"/>
        <w:ind/>
        <w:jc w:val="center"/>
        <w:rPr>
          <w:b w:val="1"/>
          <w:color w:themeColor="accent1" w:val="000000"/>
          <w:sz w:val="30"/>
        </w:rPr>
      </w:pPr>
      <w:r>
        <w:rPr>
          <w:b w:val="1"/>
          <w:color w:themeColor="accent1" w:val="000000"/>
          <w:sz w:val="30"/>
        </w:rPr>
        <w:t>индивидуального</w:t>
      </w:r>
      <w:r>
        <w:rPr>
          <w:b w:val="1"/>
          <w:color w:themeColor="accent1" w:val="000000"/>
          <w:sz w:val="30"/>
        </w:rPr>
        <w:t xml:space="preserve"> жилищного строительства</w:t>
      </w:r>
      <w:r>
        <w:rPr>
          <w:b w:val="1"/>
          <w:color w:themeColor="accent1" w:val="000000"/>
          <w:sz w:val="30"/>
        </w:rPr>
        <w:t>?</w:t>
      </w:r>
    </w:p>
    <w:p w14:paraId="08000000">
      <w:pPr>
        <w:ind/>
        <w:jc w:val="center"/>
        <w:rPr>
          <w:b w:val="1"/>
          <w:color w:themeColor="accent1" w:val="000000"/>
          <w:sz w:val="30"/>
        </w:rPr>
      </w:pPr>
    </w:p>
    <w:p w14:paraId="09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марте 2022 года в Управлении Росреестра по Челябинской области состоялась «горячая линия» для южноуральцев на тему: </w:t>
      </w:r>
      <w:r>
        <w:rPr>
          <w:rFonts w:ascii="Times New Roman" w:hAnsi="Times New Roman"/>
          <w:b w:val="1"/>
          <w:sz w:val="28"/>
        </w:rPr>
        <w:t>«О порядке государственной регистрации права собственности на хозяйственные постройки, расположенные на участках для ИЖС»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«горячей линии» г</w:t>
      </w:r>
      <w:r>
        <w:rPr>
          <w:rFonts w:ascii="Times New Roman" w:hAnsi="Times New Roman"/>
          <w:sz w:val="28"/>
        </w:rPr>
        <w:t xml:space="preserve">раждане спрашивали, что можно строить </w:t>
      </w:r>
      <w:r>
        <w:rPr>
          <w:rFonts w:ascii="Times New Roman" w:hAnsi="Times New Roman"/>
          <w:sz w:val="28"/>
        </w:rPr>
        <w:t>на земельных участках</w:t>
      </w:r>
      <w:r>
        <w:rPr>
          <w:rFonts w:ascii="Times New Roman" w:hAnsi="Times New Roman"/>
          <w:sz w:val="28"/>
        </w:rPr>
        <w:t>, предназначенн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для индивидуального жилищного строительства. Несколько звонков поступило именно с такой формулировкой вопроса, значит ответ интересен многим. Отвечаем!          </w:t>
      </w:r>
    </w:p>
    <w:p w14:paraId="0B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Вопрос: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</w:t>
      </w:r>
      <w:r>
        <w:rPr>
          <w:rFonts w:ascii="Times New Roman" w:hAnsi="Times New Roman"/>
          <w:i w:val="1"/>
          <w:sz w:val="28"/>
        </w:rPr>
        <w:t>акие нежилые объекты можно простроить на земельном участке, на котором расположен индивидуальный жилой дом и какие докум</w:t>
      </w:r>
      <w:r>
        <w:rPr>
          <w:rFonts w:ascii="Times New Roman" w:hAnsi="Times New Roman"/>
          <w:i w:val="1"/>
          <w:sz w:val="28"/>
        </w:rPr>
        <w:t>енты необходимы для оформления прав?</w:t>
      </w:r>
    </w:p>
    <w:p w14:paraId="0E000000">
      <w:pPr>
        <w:ind/>
        <w:jc w:val="both"/>
        <w:rPr>
          <w:rFonts w:ascii="Times New Roman" w:hAnsi="Times New Roman"/>
          <w:i w:val="1"/>
          <w:sz w:val="28"/>
        </w:rPr>
      </w:pPr>
    </w:p>
    <w:p w14:paraId="0F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Отвечает начальник Аргаяшского отдела Л.Д.Касымова: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Вообще по закону н</w:t>
      </w:r>
      <w:r>
        <w:rPr>
          <w:rFonts w:ascii="Times New Roman" w:hAnsi="Times New Roman"/>
          <w:sz w:val="28"/>
        </w:rPr>
        <w:t>а участке</w:t>
      </w:r>
      <w:r>
        <w:rPr>
          <w:rFonts w:ascii="Times New Roman" w:hAnsi="Times New Roman"/>
          <w:sz w:val="28"/>
        </w:rPr>
        <w:t xml:space="preserve"> с категорией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индивидуального жилищного строительства (</w:t>
      </w:r>
      <w:r>
        <w:rPr>
          <w:rFonts w:ascii="Times New Roman" w:hAnsi="Times New Roman"/>
          <w:sz w:val="28"/>
        </w:rPr>
        <w:t>ИЖС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можно возвести любые строения, предназначенные для обслуживания жилого дома и реализации личных бытовых нужд граждан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Это могут быть</w:t>
      </w:r>
      <w:r>
        <w:rPr>
          <w:rFonts w:ascii="Times New Roman" w:hAnsi="Times New Roman"/>
          <w:sz w:val="28"/>
        </w:rPr>
        <w:t xml:space="preserve">: бани, сараи, курятники и иные хозяйственные постройки. 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начала </w:t>
      </w:r>
      <w:r>
        <w:rPr>
          <w:rFonts w:ascii="Times New Roman" w:hAnsi="Times New Roman"/>
          <w:sz w:val="28"/>
        </w:rPr>
        <w:t>строительства данных объектов не требуется получени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разрешения на строительство</w:t>
      </w:r>
      <w:r>
        <w:rPr>
          <w:rFonts w:ascii="Times New Roman" w:hAnsi="Times New Roman"/>
          <w:sz w:val="28"/>
        </w:rPr>
        <w:t xml:space="preserve"> из администрации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г</w:t>
      </w:r>
      <w:r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>рег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прав на такую недвижимость </w:t>
      </w:r>
      <w:r>
        <w:rPr>
          <w:rFonts w:ascii="Times New Roman" w:hAnsi="Times New Roman"/>
          <w:sz w:val="28"/>
        </w:rPr>
        <w:t>необходимы только технический план и наличие прав (собственность, аренда) на земельный участок, предназначенный для ИЖС.</w:t>
      </w:r>
      <w:r>
        <w:rPr>
          <w:rFonts w:ascii="Times New Roman" w:hAnsi="Times New Roman"/>
          <w:sz w:val="28"/>
        </w:rPr>
        <w:t xml:space="preserve"> Государственная пошлина составит 350 рублей.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</w:p>
    <w:sectPr>
      <w:pgSz w:h="16838" w:w="11906"/>
      <w:pgMar w:bottom="1134" w:footer="708" w:gutter="0" w:header="708" w:left="1276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