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УПРАВЛЕНИЕ </w:t>
      </w:r>
      <w:r>
        <w:rPr>
          <w:rFonts w:ascii="Times New Roman" w:hAnsi="Times New Roman"/>
          <w:b w:val="1"/>
        </w:rPr>
        <w:t>ФЕДЕРАЛЬНОЙ  СЛУЖБЫ</w:t>
      </w:r>
      <w:r>
        <w:rPr>
          <w:rFonts w:ascii="Times New Roman" w:hAnsi="Times New Roman"/>
          <w:b w:val="1"/>
        </w:rPr>
        <w:t xml:space="preserve"> ГОСУДАРСТВЕННОЙ  РЕГИСТРАЦИИ,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КАДАСТРА И КАРТОГРАФИИ (</w:t>
      </w:r>
      <w:r>
        <w:rPr>
          <w:rFonts w:ascii="Times New Roman" w:hAnsi="Times New Roman"/>
          <w:b w:val="1"/>
          <w:u w:val="single"/>
        </w:rPr>
        <w:t>РОСРЕЕСТР)  ПО</w:t>
      </w:r>
      <w:r>
        <w:rPr>
          <w:rFonts w:ascii="Times New Roman" w:hAnsi="Times New Roman"/>
          <w:b w:val="1"/>
          <w:u w:val="single"/>
        </w:rPr>
        <w:t xml:space="preserve"> ЧЕЛЯБИНСКОЙ ОБЛАСТИ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454048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г. Челябинск, ул.Елькина, 85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color w:val="68981A"/>
          <w:sz w:val="28"/>
        </w:rPr>
      </w:pPr>
      <w:r>
        <w:rPr>
          <w:rFonts w:ascii="Times New Roman" w:hAnsi="Times New Roman"/>
          <w:sz w:val="24"/>
        </w:rPr>
        <w:drawing>
          <wp:inline>
            <wp:extent cx="1867475" cy="70425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1867475" cy="7042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68981A"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68981A"/>
          <w:sz w:val="28"/>
        </w:rPr>
        <w:t>1</w:t>
      </w:r>
      <w:r>
        <w:rPr>
          <w:rFonts w:ascii="Times New Roman" w:hAnsi="Times New Roman"/>
          <w:color w:val="68981A"/>
          <w:sz w:val="28"/>
        </w:rPr>
        <w:t>5</w:t>
      </w:r>
      <w:r>
        <w:rPr>
          <w:rFonts w:ascii="Times New Roman" w:hAnsi="Times New Roman"/>
          <w:color w:val="68981A"/>
          <w:sz w:val="28"/>
        </w:rPr>
        <w:t>.11.</w:t>
      </w:r>
      <w:r>
        <w:rPr>
          <w:rFonts w:ascii="Times New Roman" w:hAnsi="Times New Roman"/>
          <w:color w:val="68981A"/>
          <w:sz w:val="28"/>
        </w:rPr>
        <w:t>2021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accent1" w:themeShade="BF" w:val="000000"/>
          <w:sz w:val="28"/>
        </w:rPr>
      </w:pPr>
      <w:r>
        <w:rPr>
          <w:rFonts w:ascii="Times New Roman" w:hAnsi="Times New Roman"/>
          <w:b w:val="1"/>
          <w:color w:themeColor="accent1" w:themeShade="BF" w:val="000000"/>
          <w:sz w:val="28"/>
        </w:rPr>
        <w:t xml:space="preserve">Регистрация договора долевого участия в строительстве в электронном виде </w:t>
      </w:r>
      <w:r>
        <w:rPr>
          <w:rFonts w:ascii="Times New Roman" w:hAnsi="Times New Roman"/>
          <w:b w:val="1"/>
          <w:color w:themeColor="accent1" w:themeShade="BF" w:val="000000"/>
          <w:sz w:val="28"/>
        </w:rPr>
        <w:t>-</w:t>
      </w:r>
      <w:r>
        <w:rPr>
          <w:rFonts w:ascii="Times New Roman" w:hAnsi="Times New Roman"/>
          <w:b w:val="1"/>
          <w:color w:themeColor="accent1" w:themeShade="BF" w:val="000000"/>
          <w:sz w:val="28"/>
        </w:rPr>
        <w:t xml:space="preserve">наиболее </w:t>
      </w:r>
      <w:r>
        <w:rPr>
          <w:rFonts w:ascii="Times New Roman" w:hAnsi="Times New Roman"/>
          <w:b w:val="1"/>
          <w:color w:themeColor="accent1" w:themeShade="BF" w:val="000000"/>
          <w:sz w:val="28"/>
        </w:rPr>
        <w:t>комфортный</w:t>
      </w:r>
      <w:r>
        <w:rPr>
          <w:rFonts w:ascii="Times New Roman" w:hAnsi="Times New Roman"/>
          <w:b w:val="1"/>
          <w:color w:themeColor="accent1" w:themeShade="BF" w:val="000000"/>
          <w:sz w:val="28"/>
        </w:rPr>
        <w:t xml:space="preserve"> способ стать собственником</w:t>
      </w:r>
      <w:r>
        <w:rPr>
          <w:rFonts w:ascii="Times New Roman" w:hAnsi="Times New Roman"/>
          <w:b w:val="1"/>
          <w:color w:themeColor="accent1" w:themeShade="BF" w:val="000000"/>
          <w:sz w:val="28"/>
        </w:rPr>
        <w:t xml:space="preserve"> нового жилья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7"/>
        </w:rPr>
      </w:pPr>
    </w:p>
    <w:p w14:paraId="07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Управление Росреестра по Челябинской области </w:t>
      </w:r>
      <w:r>
        <w:rPr>
          <w:rFonts w:ascii="Times New Roman" w:hAnsi="Times New Roman"/>
          <w:b w:val="1"/>
          <w:sz w:val="28"/>
        </w:rPr>
        <w:t xml:space="preserve">о преимуществах электронного предоставления документов на регистрацию </w:t>
      </w:r>
      <w:r>
        <w:rPr>
          <w:rFonts w:ascii="Times New Roman" w:hAnsi="Times New Roman"/>
          <w:b w:val="1"/>
          <w:sz w:val="28"/>
        </w:rPr>
        <w:t>договор</w:t>
      </w:r>
      <w:r>
        <w:rPr>
          <w:rFonts w:ascii="Times New Roman" w:hAnsi="Times New Roman"/>
          <w:b w:val="1"/>
          <w:sz w:val="28"/>
        </w:rPr>
        <w:t>ов</w:t>
      </w:r>
      <w:r>
        <w:rPr>
          <w:rFonts w:ascii="Times New Roman" w:hAnsi="Times New Roman"/>
          <w:b w:val="1"/>
          <w:sz w:val="28"/>
        </w:rPr>
        <w:t xml:space="preserve"> долевого участия в строительстве</w:t>
      </w:r>
      <w:r>
        <w:rPr>
          <w:rFonts w:ascii="Times New Roman" w:hAnsi="Times New Roman"/>
          <w:b w:val="1"/>
          <w:sz w:val="28"/>
        </w:rPr>
        <w:t xml:space="preserve">. </w:t>
      </w:r>
    </w:p>
    <w:p w14:paraId="08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Обращение за регистрацией договора долевого участия в строительстве и прав на построенный объект в электронном виде является наиболее простым и удобным, потому что экономит время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(не требуется личного визита в МФЦ в день подачи и в последующем для получения документов), кроме того, электронные заявки рассматриваются Росреестром в более сокращенные сроки. В случае каких-либо замечаний (например, не хватает документов) сотрудник ведомства свяжется с заявителем и представителем застройщика для оперативного устранения замечаний.</w:t>
      </w:r>
    </w:p>
    <w:p w14:paraId="09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Напомним, регистрация договоров участия в долевом строительстве в Росреестре осуществляется по совместному обращению компании-застройщика и дольщика, а также при подаче документов непосредственно застройщиком </w:t>
      </w:r>
      <w:r>
        <w:rPr>
          <w:rFonts w:ascii="Times New Roman" w:hAnsi="Times New Roman"/>
          <w:i w:val="1"/>
          <w:sz w:val="28"/>
        </w:rPr>
        <w:t>за участника долевого строительства</w:t>
      </w:r>
      <w:r>
        <w:rPr>
          <w:rFonts w:ascii="Times New Roman" w:hAnsi="Times New Roman"/>
          <w:sz w:val="28"/>
        </w:rPr>
        <w:t xml:space="preserve"> (когда объект уже введен в эксплуатацию и передан ему по акту), последний вариант, бесспорно, более предпочтителен и удобен для южноуральцев. </w:t>
      </w:r>
    </w:p>
    <w:p w14:paraId="0A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Некоторые наши заявители </w:t>
      </w:r>
      <w:r>
        <w:rPr>
          <w:rFonts w:ascii="Times New Roman" w:hAnsi="Times New Roman"/>
          <w:sz w:val="28"/>
        </w:rPr>
        <w:t xml:space="preserve">всё ещё </w:t>
      </w:r>
      <w:r>
        <w:rPr>
          <w:rFonts w:ascii="Times New Roman" w:hAnsi="Times New Roman"/>
          <w:sz w:val="28"/>
        </w:rPr>
        <w:t xml:space="preserve">высказывают опасения относительно электронной регистрации, предпочитая электронным документам бумажный вид.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любы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страх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здесь </w:t>
      </w:r>
      <w:r>
        <w:rPr>
          <w:rFonts w:ascii="Times New Roman" w:hAnsi="Times New Roman"/>
          <w:sz w:val="28"/>
        </w:rPr>
        <w:t>совершенно</w:t>
      </w:r>
      <w:r>
        <w:rPr>
          <w:rFonts w:ascii="Times New Roman" w:hAnsi="Times New Roman"/>
          <w:sz w:val="28"/>
        </w:rPr>
        <w:t xml:space="preserve"> напрасны!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Отчасти возникают они из-за того, что в результате регистрации, документы на которую были предоставлены в электронном виде, выдается электронная выписка из реестра недвижимости, подписанная усиленной квалифицированной электронной подписью </w:t>
      </w:r>
      <w:r>
        <w:rPr>
          <w:rFonts w:ascii="Times New Roman" w:hAnsi="Times New Roman"/>
          <w:sz w:val="28"/>
        </w:rPr>
        <w:t>госрегистратора</w:t>
      </w:r>
      <w:r>
        <w:rPr>
          <w:rFonts w:ascii="Times New Roman" w:hAnsi="Times New Roman"/>
          <w:sz w:val="28"/>
        </w:rPr>
        <w:t xml:space="preserve"> (без синей печати). </w:t>
      </w:r>
      <w:r>
        <w:rPr>
          <w:rFonts w:ascii="Times New Roman" w:hAnsi="Times New Roman"/>
          <w:sz w:val="28"/>
        </w:rPr>
        <w:t xml:space="preserve">Однако </w:t>
      </w:r>
      <w:r>
        <w:rPr>
          <w:rFonts w:ascii="Times New Roman" w:hAnsi="Times New Roman"/>
          <w:sz w:val="28"/>
        </w:rPr>
        <w:t xml:space="preserve">данный </w:t>
      </w:r>
      <w:r>
        <w:rPr>
          <w:rFonts w:ascii="Times New Roman" w:hAnsi="Times New Roman"/>
          <w:sz w:val="28"/>
        </w:rPr>
        <w:t xml:space="preserve">электронный документ имеет </w:t>
      </w:r>
      <w:r>
        <w:rPr>
          <w:rFonts w:ascii="Times New Roman" w:hAnsi="Times New Roman"/>
          <w:sz w:val="28"/>
        </w:rPr>
        <w:t>ту же</w:t>
      </w:r>
      <w:r>
        <w:rPr>
          <w:rFonts w:ascii="Times New Roman" w:hAnsi="Times New Roman"/>
          <w:sz w:val="28"/>
        </w:rPr>
        <w:t xml:space="preserve"> юридическую</w:t>
      </w:r>
      <w:r>
        <w:rPr>
          <w:rFonts w:ascii="Times New Roman" w:hAnsi="Times New Roman"/>
          <w:sz w:val="28"/>
        </w:rPr>
        <w:t xml:space="preserve"> силу, что и информация на официальном бланке ведомства либо выписка с синей печатью</w:t>
      </w:r>
      <w:r>
        <w:rPr>
          <w:rFonts w:ascii="Times New Roman" w:hAnsi="Times New Roman"/>
          <w:sz w:val="28"/>
        </w:rPr>
        <w:t>. В наше время цифровых технологий такие электронные документы совершенно равнозначны бумажным</w:t>
      </w:r>
      <w:r>
        <w:rPr>
          <w:rFonts w:ascii="Times New Roman" w:hAnsi="Times New Roman"/>
          <w:sz w:val="28"/>
        </w:rPr>
        <w:t xml:space="preserve">», - отметила руководитель Управления Росреестра по Челябинской области </w:t>
      </w:r>
      <w:r>
        <w:rPr>
          <w:rFonts w:ascii="Times New Roman" w:hAnsi="Times New Roman"/>
          <w:b w:val="1"/>
          <w:sz w:val="28"/>
        </w:rPr>
        <w:t>Ольга Смирных</w:t>
      </w:r>
      <w:r>
        <w:rPr>
          <w:rFonts w:ascii="Times New Roman" w:hAnsi="Times New Roman"/>
          <w:sz w:val="28"/>
        </w:rPr>
        <w:t>.</w:t>
      </w:r>
    </w:p>
    <w:p w14:paraId="0B000000">
      <w:pPr>
        <w:spacing w:after="0" w:line="240" w:lineRule="auto"/>
        <w:ind w:firstLine="708" w:left="2124"/>
        <w:jc w:val="right"/>
        <w:rPr>
          <w:rFonts w:ascii="Times New Roman" w:hAnsi="Times New Roman"/>
          <w:sz w:val="27"/>
        </w:rPr>
      </w:pPr>
    </w:p>
    <w:p w14:paraId="0C000000">
      <w:pPr>
        <w:spacing w:after="0" w:line="240" w:lineRule="auto"/>
        <w:ind w:firstLine="708" w:left="2124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Управления Росреестра </w:t>
      </w:r>
    </w:p>
    <w:p w14:paraId="0D000000">
      <w:pPr>
        <w:ind w:firstLine="0" w:left="3540"/>
        <w:jc w:val="right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i w:val="1"/>
          <w:sz w:val="28"/>
        </w:rPr>
        <w:t xml:space="preserve">   по Челябинской области Аргаяшский отдел</w:t>
      </w:r>
    </w:p>
    <w:sectPr>
      <w:pgSz w:h="16838" w:w="11906"/>
      <w:pgMar w:bottom="284" w:footer="708" w:gutter="0" w:header="708" w:left="567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Balloon Text"/>
    <w:basedOn w:val="Style_1"/>
    <w:link w:val="Style_4_ch"/>
    <w:pPr>
      <w:spacing w:after="0" w:line="240" w:lineRule="auto"/>
      <w:ind/>
    </w:pPr>
    <w:rPr>
      <w:rFonts w:ascii="Tahoma" w:hAnsi="Tahoma"/>
      <w:sz w:val="16"/>
    </w:rPr>
  </w:style>
  <w:style w:styleId="Style_4_ch" w:type="character">
    <w:name w:val="Balloon Text"/>
    <w:basedOn w:val="Style_1_ch"/>
    <w:link w:val="Style_4"/>
    <w:rPr>
      <w:rFonts w:ascii="Tahoma" w:hAnsi="Tahoma"/>
      <w:sz w:val="16"/>
    </w:rPr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12"/>
    <w:link w:val="Style_11_ch"/>
    <w:rPr>
      <w:color w:val="0000FF"/>
      <w:u w:val="single"/>
    </w:rPr>
  </w:style>
  <w:style w:styleId="Style_11_ch" w:type="character">
    <w:name w:val="Hyperlink"/>
    <w:basedOn w:val="Style_12_ch"/>
    <w:link w:val="Style_11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Normal (Web)"/>
    <w:basedOn w:val="Style_1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1_ch"/>
    <w:link w:val="Style_14"/>
    <w:rPr>
      <w:rFonts w:ascii="Times New Roman" w:hAnsi="Times New Roman"/>
      <w:sz w:val="24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default"/>
    <w:basedOn w:val="Style_1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default"/>
    <w:basedOn w:val="Style_1_ch"/>
    <w:link w:val="Style_19"/>
    <w:rPr>
      <w:rFonts w:ascii="Times New Roman" w:hAnsi="Times New Roman"/>
      <w:sz w:val="24"/>
    </w:rPr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trong"/>
    <w:basedOn w:val="Style_12"/>
    <w:link w:val="Style_21_ch"/>
    <w:rPr>
      <w:b w:val="1"/>
    </w:rPr>
  </w:style>
  <w:style w:styleId="Style_21_ch" w:type="character">
    <w:name w:val="Strong"/>
    <w:basedOn w:val="Style_12_ch"/>
    <w:link w:val="Style_21"/>
    <w:rPr>
      <w:b w:val="1"/>
    </w:rPr>
  </w:style>
  <w:style w:styleId="Style_22" w:type="paragraph">
    <w:name w:val="Subtitle"/>
    <w:next w:val="Style_1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1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1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6" w:type="paragraph">
    <w:name w:val="heading 2"/>
    <w:basedOn w:val="Style_1"/>
    <w:next w:val="Style_1"/>
    <w:link w:val="Style_26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000000"/>
      <w:sz w:val="26"/>
    </w:rPr>
  </w:style>
  <w:style w:styleId="Style_26_ch" w:type="character">
    <w:name w:val="heading 2"/>
    <w:basedOn w:val="Style_1_ch"/>
    <w:link w:val="Style_26"/>
    <w:rPr>
      <w:rFonts w:asciiTheme="majorAscii" w:hAnsiTheme="majorHAnsi"/>
      <w:color w:themeColor="accent1" w:themeShade="BF" w:val="000000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